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FFC" w:rsidRPr="008A2665" w:rsidRDefault="00856FFC" w:rsidP="00856FFC">
      <w:pPr>
        <w:shd w:val="clear" w:color="auto" w:fill="FFFFFF"/>
        <w:spacing w:after="0" w:line="240" w:lineRule="auto"/>
        <w:jc w:val="both"/>
        <w:rPr>
          <w:rFonts w:ascii="Tahoma" w:hAnsi="Tahoma" w:cs="Tahoma"/>
          <w:color w:val="595959" w:themeColor="text1" w:themeTint="A6"/>
        </w:rPr>
      </w:pPr>
    </w:p>
    <w:p w:rsidR="00856FFC" w:rsidRPr="008A2665" w:rsidRDefault="00856FFC" w:rsidP="00856FFC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ahoma" w:hAnsi="Tahoma" w:cs="Tahoma"/>
          <w:color w:val="595959" w:themeColor="text1" w:themeTint="A6"/>
        </w:rPr>
      </w:pPr>
      <w:r w:rsidRPr="008A2665">
        <w:rPr>
          <w:rFonts w:ascii="Tahoma" w:hAnsi="Tahoma" w:cs="Tahoma"/>
          <w:b/>
          <w:bCs/>
          <w:color w:val="595959" w:themeColor="text1" w:themeTint="A6"/>
        </w:rPr>
        <w:t>Resolución No</w:t>
      </w:r>
      <w:r w:rsidRPr="008A2665">
        <w:rPr>
          <w:rFonts w:ascii="Tahoma" w:hAnsi="Tahoma" w:cs="Tahoma"/>
          <w:b/>
          <w:color w:val="595959" w:themeColor="text1" w:themeTint="A6"/>
        </w:rPr>
        <w:t xml:space="preserve">. </w:t>
      </w:r>
      <w:r w:rsidRPr="008A2665">
        <w:rPr>
          <w:rFonts w:ascii="Tahoma" w:hAnsi="Tahoma" w:cs="Tahoma"/>
          <w:b/>
          <w:bCs/>
          <w:color w:val="595959" w:themeColor="text1" w:themeTint="A6"/>
        </w:rPr>
        <w:t>NAC-DGERCGC17-00000568:</w:t>
      </w:r>
      <w:r w:rsidRPr="008A2665">
        <w:rPr>
          <w:rFonts w:ascii="Tahoma" w:hAnsi="Tahoma" w:cs="Tahoma"/>
          <w:color w:val="595959" w:themeColor="text1" w:themeTint="A6"/>
        </w:rPr>
        <w:t xml:space="preserve"> Refórmese la Resolución No. NAC-DGERCGC17-00000430, publicada en el Suplemento del Registro Oficial No. 59 de 17 de agosto de 2017.</w:t>
      </w:r>
    </w:p>
    <w:p w:rsidR="00856FFC" w:rsidRDefault="00856FFC" w:rsidP="00856FFC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6"/>
          <w:szCs w:val="16"/>
          <w:lang w:val="es-EC" w:eastAsia="es-EC"/>
        </w:rPr>
      </w:pPr>
    </w:p>
    <w:p w:rsidR="00856FFC" w:rsidRDefault="00856FFC" w:rsidP="00856FFC">
      <w:pPr>
        <w:shd w:val="clear" w:color="auto" w:fill="FFFFFF"/>
        <w:spacing w:after="0" w:line="240" w:lineRule="auto"/>
        <w:jc w:val="center"/>
        <w:rPr>
          <w:rFonts w:ascii="Tahoma" w:hAnsi="Tahoma" w:cs="Tahoma"/>
          <w:sz w:val="16"/>
          <w:szCs w:val="16"/>
          <w:shd w:val="clear" w:color="auto" w:fill="FFFFFF"/>
        </w:rPr>
      </w:pPr>
      <w:r w:rsidRPr="00973C00">
        <w:rPr>
          <w:rFonts w:ascii="Tahoma" w:hAnsi="Tahoma" w:cs="Tahoma"/>
          <w:sz w:val="16"/>
          <w:szCs w:val="16"/>
          <w:shd w:val="clear" w:color="auto" w:fill="FFFFFF"/>
        </w:rPr>
        <w:t>Resuelve:</w:t>
      </w:r>
    </w:p>
    <w:p w:rsidR="00856FFC" w:rsidRDefault="00856FFC" w:rsidP="00856FFC">
      <w:pPr>
        <w:shd w:val="clear" w:color="auto" w:fill="FFFFFF"/>
        <w:spacing w:after="0" w:line="240" w:lineRule="auto"/>
        <w:rPr>
          <w:rFonts w:ascii="Tahoma" w:hAnsi="Tahoma" w:cs="Tahoma"/>
          <w:sz w:val="16"/>
          <w:szCs w:val="16"/>
          <w:shd w:val="clear" w:color="auto" w:fill="FFFFFF"/>
        </w:rPr>
      </w:pPr>
      <w:r w:rsidRPr="00973C00">
        <w:rPr>
          <w:rFonts w:ascii="Tahoma" w:hAnsi="Tahoma" w:cs="Tahoma"/>
          <w:sz w:val="16"/>
          <w:szCs w:val="16"/>
        </w:rPr>
        <w:br/>
      </w:r>
      <w:r w:rsidRPr="00973C00">
        <w:rPr>
          <w:rFonts w:ascii="Tahoma" w:hAnsi="Tahoma" w:cs="Tahoma"/>
          <w:sz w:val="16"/>
          <w:szCs w:val="16"/>
          <w:shd w:val="clear" w:color="auto" w:fill="FFFFFF"/>
        </w:rPr>
        <w:t>Reformar la Resolución No. NAC-DGERCGC17-00000430, publicada en el Suplemento del Registro Oficial No. 59 de 17 de agosto de 2017. </w:t>
      </w:r>
      <w:r w:rsidRPr="00973C00">
        <w:rPr>
          <w:rFonts w:ascii="Tahoma" w:hAnsi="Tahoma" w:cs="Tahoma"/>
          <w:sz w:val="16"/>
          <w:szCs w:val="16"/>
          <w:shd w:val="clear" w:color="auto" w:fill="FFFFFF"/>
        </w:rPr>
        <w:br/>
      </w:r>
      <w:r w:rsidRPr="00973C00">
        <w:rPr>
          <w:rFonts w:ascii="Tahoma" w:hAnsi="Tahoma" w:cs="Tahoma"/>
          <w:sz w:val="16"/>
          <w:szCs w:val="16"/>
        </w:rPr>
        <w:br/>
      </w:r>
      <w:r w:rsidRPr="00973C00">
        <w:rPr>
          <w:rFonts w:ascii="Tahoma" w:hAnsi="Tahoma" w:cs="Tahoma"/>
          <w:sz w:val="16"/>
          <w:szCs w:val="16"/>
          <w:shd w:val="clear" w:color="auto" w:fill="FFFFFF"/>
        </w:rPr>
        <w:t>Artículo 1.- En la Resolución No. NAC-DGERCGC17-00000430, publicada en el Suplemento del Registro Oficial No. 59 de 17 de agosto de 2017, realícense las siguientes reformas:</w:t>
      </w:r>
      <w:r w:rsidRPr="00973C00">
        <w:rPr>
          <w:rFonts w:ascii="Tahoma" w:hAnsi="Tahoma" w:cs="Tahoma"/>
          <w:sz w:val="16"/>
          <w:szCs w:val="16"/>
        </w:rPr>
        <w:br/>
      </w:r>
      <w:r w:rsidRPr="00973C00">
        <w:rPr>
          <w:rFonts w:ascii="Tahoma" w:hAnsi="Tahoma" w:cs="Tahoma"/>
          <w:sz w:val="16"/>
          <w:szCs w:val="16"/>
        </w:rPr>
        <w:br/>
      </w:r>
      <w:r w:rsidRPr="00973C00">
        <w:rPr>
          <w:rFonts w:ascii="Tahoma" w:hAnsi="Tahoma" w:cs="Tahoma"/>
          <w:sz w:val="16"/>
          <w:szCs w:val="16"/>
          <w:shd w:val="clear" w:color="auto" w:fill="FFFFFF"/>
        </w:rPr>
        <w:t>1. En el primer inciso del artículo 1, agréguese a continuación de la frase: “</w:t>
      </w:r>
      <w:r w:rsidRPr="00973C00">
        <w:rPr>
          <w:rFonts w:ascii="Tahoma" w:hAnsi="Tahoma" w:cs="Tahoma"/>
          <w:i/>
          <w:iCs/>
          <w:sz w:val="16"/>
          <w:szCs w:val="16"/>
          <w:shd w:val="clear" w:color="auto" w:fill="FFFFFF"/>
        </w:rPr>
        <w:t>los siguientes sujetos pasivos “, </w:t>
      </w:r>
      <w:r w:rsidRPr="00973C00">
        <w:rPr>
          <w:rFonts w:ascii="Tahoma" w:hAnsi="Tahoma" w:cs="Tahoma"/>
          <w:sz w:val="16"/>
          <w:szCs w:val="16"/>
          <w:shd w:val="clear" w:color="auto" w:fill="FFFFFF"/>
        </w:rPr>
        <w:t>lo siguiente: “, </w:t>
      </w:r>
      <w:r w:rsidRPr="00973C00">
        <w:rPr>
          <w:rFonts w:ascii="Tahoma" w:hAnsi="Tahoma" w:cs="Tahoma"/>
          <w:i/>
          <w:iCs/>
          <w:sz w:val="16"/>
          <w:szCs w:val="16"/>
          <w:shd w:val="clear" w:color="auto" w:fill="FFFFFF"/>
        </w:rPr>
        <w:t>pertenecientes al régimen general”</w:t>
      </w:r>
      <w:r w:rsidRPr="00973C00">
        <w:rPr>
          <w:rFonts w:ascii="Tahoma" w:hAnsi="Tahoma" w:cs="Tahoma"/>
          <w:sz w:val="16"/>
          <w:szCs w:val="16"/>
        </w:rPr>
        <w:br/>
      </w:r>
      <w:r w:rsidRPr="00973C00">
        <w:rPr>
          <w:rFonts w:ascii="Tahoma" w:hAnsi="Tahoma" w:cs="Tahoma"/>
          <w:sz w:val="16"/>
          <w:szCs w:val="16"/>
        </w:rPr>
        <w:br/>
      </w:r>
      <w:r w:rsidRPr="00973C00">
        <w:rPr>
          <w:rFonts w:ascii="Tahoma" w:hAnsi="Tahoma" w:cs="Tahoma"/>
          <w:sz w:val="16"/>
          <w:szCs w:val="16"/>
          <w:shd w:val="clear" w:color="auto" w:fill="FFFFFF"/>
        </w:rPr>
        <w:t>2. En los literales a) y b) del artículo 1, elimínese lo siguiente: “</w:t>
      </w:r>
      <w:r w:rsidRPr="00973C00">
        <w:rPr>
          <w:rFonts w:ascii="Tahoma" w:hAnsi="Tahoma" w:cs="Tahoma"/>
          <w:i/>
          <w:iCs/>
          <w:sz w:val="16"/>
          <w:szCs w:val="16"/>
          <w:shd w:val="clear" w:color="auto" w:fill="FFFFFF"/>
        </w:rPr>
        <w:t>duplo del”</w:t>
      </w:r>
      <w:r w:rsidRPr="00973C00">
        <w:rPr>
          <w:rFonts w:ascii="Tahoma" w:hAnsi="Tahoma" w:cs="Tahoma"/>
          <w:sz w:val="16"/>
          <w:szCs w:val="16"/>
        </w:rPr>
        <w:br/>
      </w:r>
      <w:r w:rsidRPr="00973C00">
        <w:rPr>
          <w:rFonts w:ascii="Tahoma" w:hAnsi="Tahoma" w:cs="Tahoma"/>
          <w:sz w:val="16"/>
          <w:szCs w:val="16"/>
        </w:rPr>
        <w:br/>
      </w:r>
      <w:r w:rsidRPr="00973C00">
        <w:rPr>
          <w:rFonts w:ascii="Tahoma" w:hAnsi="Tahoma" w:cs="Tahoma"/>
          <w:sz w:val="16"/>
          <w:szCs w:val="16"/>
          <w:shd w:val="clear" w:color="auto" w:fill="FFFFFF"/>
        </w:rPr>
        <w:t>3. Elimínese al final del literal h) del artículo 1, lo siguiente: </w:t>
      </w:r>
      <w:r w:rsidRPr="00973C00">
        <w:rPr>
          <w:rFonts w:ascii="Tahoma" w:hAnsi="Tahoma" w:cs="Tahoma"/>
          <w:i/>
          <w:iCs/>
          <w:sz w:val="16"/>
          <w:szCs w:val="16"/>
          <w:shd w:val="clear" w:color="auto" w:fill="FFFFFF"/>
        </w:rPr>
        <w:t>“y,”</w:t>
      </w:r>
      <w:r w:rsidRPr="00973C00">
        <w:rPr>
          <w:rFonts w:ascii="Tahoma" w:hAnsi="Tahoma" w:cs="Tahoma"/>
          <w:sz w:val="16"/>
          <w:szCs w:val="16"/>
        </w:rPr>
        <w:br/>
      </w:r>
      <w:r w:rsidRPr="00973C00">
        <w:rPr>
          <w:rFonts w:ascii="Tahoma" w:hAnsi="Tahoma" w:cs="Tahoma"/>
          <w:sz w:val="16"/>
          <w:szCs w:val="16"/>
        </w:rPr>
        <w:br/>
      </w:r>
      <w:r w:rsidRPr="00973C00">
        <w:rPr>
          <w:rFonts w:ascii="Tahoma" w:hAnsi="Tahoma" w:cs="Tahoma"/>
          <w:sz w:val="16"/>
          <w:szCs w:val="16"/>
          <w:shd w:val="clear" w:color="auto" w:fill="FFFFFF"/>
        </w:rPr>
        <w:t>4. Agréguense a continuación del literal i) de artículo 1, los siguientes:</w:t>
      </w:r>
      <w:r w:rsidRPr="00973C00">
        <w:rPr>
          <w:rFonts w:ascii="Tahoma" w:hAnsi="Tahoma" w:cs="Tahoma"/>
          <w:sz w:val="16"/>
          <w:szCs w:val="16"/>
        </w:rPr>
        <w:br/>
      </w:r>
      <w:r w:rsidRPr="00973C00">
        <w:rPr>
          <w:rFonts w:ascii="Tahoma" w:hAnsi="Tahoma" w:cs="Tahoma"/>
          <w:sz w:val="16"/>
          <w:szCs w:val="16"/>
        </w:rPr>
        <w:br/>
      </w:r>
      <w:r w:rsidRPr="00973C00">
        <w:rPr>
          <w:rFonts w:ascii="Tahoma" w:hAnsi="Tahoma" w:cs="Tahoma"/>
          <w:i/>
          <w:iCs/>
          <w:sz w:val="16"/>
          <w:szCs w:val="16"/>
          <w:shd w:val="clear" w:color="auto" w:fill="FFFFFF"/>
        </w:rPr>
        <w:t>“j) Sujetos pasivos importadores habituales de bienes;</w:t>
      </w:r>
      <w:r w:rsidRPr="00973C00">
        <w:rPr>
          <w:rFonts w:ascii="Tahoma" w:hAnsi="Tahoma" w:cs="Tahoma"/>
          <w:sz w:val="16"/>
          <w:szCs w:val="16"/>
        </w:rPr>
        <w:br/>
      </w:r>
      <w:r w:rsidRPr="00973C00">
        <w:rPr>
          <w:rFonts w:ascii="Tahoma" w:hAnsi="Tahoma" w:cs="Tahoma"/>
          <w:sz w:val="16"/>
          <w:szCs w:val="16"/>
        </w:rPr>
        <w:br/>
      </w:r>
      <w:r w:rsidRPr="00973C00">
        <w:rPr>
          <w:rFonts w:ascii="Tahoma" w:hAnsi="Tahoma" w:cs="Tahoma"/>
          <w:i/>
          <w:iCs/>
          <w:sz w:val="16"/>
          <w:szCs w:val="16"/>
          <w:shd w:val="clear" w:color="auto" w:fill="FFFFFF"/>
        </w:rPr>
        <w:t>k) Sujetos pasivos que tengan la calidad de agentes de aduana, de conformidad con la licencia otorgada por el Servicio Nacional de Aduana del Ecuador, para el efecto;</w:t>
      </w:r>
      <w:r w:rsidRPr="00973C00">
        <w:rPr>
          <w:rFonts w:ascii="Tahoma" w:hAnsi="Tahoma" w:cs="Tahoma"/>
          <w:sz w:val="16"/>
          <w:szCs w:val="16"/>
        </w:rPr>
        <w:br/>
      </w:r>
      <w:r w:rsidRPr="00973C00">
        <w:rPr>
          <w:rFonts w:ascii="Tahoma" w:hAnsi="Tahoma" w:cs="Tahoma"/>
          <w:sz w:val="16"/>
          <w:szCs w:val="16"/>
        </w:rPr>
        <w:br/>
      </w:r>
      <w:r w:rsidRPr="00973C00">
        <w:rPr>
          <w:rFonts w:ascii="Tahoma" w:hAnsi="Tahoma" w:cs="Tahoma"/>
          <w:i/>
          <w:iCs/>
          <w:sz w:val="16"/>
          <w:szCs w:val="16"/>
          <w:shd w:val="clear" w:color="auto" w:fill="FFFFFF"/>
        </w:rPr>
        <w:t>l) Sujetos pasivos que presten servicios de transporte de valores y especies monetarias, a través de vehículos blindados; y,</w:t>
      </w:r>
      <w:r w:rsidRPr="00973C00">
        <w:rPr>
          <w:rFonts w:ascii="Tahoma" w:hAnsi="Tahoma" w:cs="Tahoma"/>
          <w:sz w:val="16"/>
          <w:szCs w:val="16"/>
        </w:rPr>
        <w:br/>
      </w:r>
      <w:r w:rsidRPr="00973C00">
        <w:rPr>
          <w:rFonts w:ascii="Tahoma" w:hAnsi="Tahoma" w:cs="Tahoma"/>
          <w:sz w:val="16"/>
          <w:szCs w:val="16"/>
        </w:rPr>
        <w:br/>
      </w:r>
      <w:r w:rsidRPr="00973C00">
        <w:rPr>
          <w:rFonts w:ascii="Tahoma" w:hAnsi="Tahoma" w:cs="Tahoma"/>
          <w:i/>
          <w:iCs/>
          <w:sz w:val="16"/>
          <w:szCs w:val="16"/>
          <w:shd w:val="clear" w:color="auto" w:fill="FFFFFF"/>
        </w:rPr>
        <w:t>m) Sujetos pasivos dedicados a la venta, cesión o transferencia de cartera, a cualquier título.”</w:t>
      </w:r>
      <w:r w:rsidRPr="00973C00">
        <w:rPr>
          <w:rFonts w:ascii="Tahoma" w:hAnsi="Tahoma" w:cs="Tahoma"/>
          <w:sz w:val="16"/>
          <w:szCs w:val="16"/>
        </w:rPr>
        <w:br/>
      </w:r>
      <w:r w:rsidRPr="00973C00">
        <w:rPr>
          <w:rFonts w:ascii="Tahoma" w:hAnsi="Tahoma" w:cs="Tahoma"/>
          <w:sz w:val="16"/>
          <w:szCs w:val="16"/>
        </w:rPr>
        <w:br/>
      </w:r>
      <w:r w:rsidRPr="00973C00">
        <w:rPr>
          <w:rFonts w:ascii="Tahoma" w:hAnsi="Tahoma" w:cs="Tahoma"/>
          <w:i/>
          <w:iCs/>
          <w:sz w:val="16"/>
          <w:szCs w:val="16"/>
          <w:shd w:val="clear" w:color="auto" w:fill="FFFFFF"/>
        </w:rPr>
        <w:t>5. A </w:t>
      </w:r>
      <w:r w:rsidRPr="00973C00">
        <w:rPr>
          <w:rFonts w:ascii="Tahoma" w:hAnsi="Tahoma" w:cs="Tahoma"/>
          <w:sz w:val="16"/>
          <w:szCs w:val="16"/>
          <w:shd w:val="clear" w:color="auto" w:fill="FFFFFF"/>
        </w:rPr>
        <w:t>continuación de la Disposición General Tercera, inclúyase la siguiente disposición general:</w:t>
      </w:r>
      <w:r w:rsidRPr="00973C00">
        <w:rPr>
          <w:rFonts w:ascii="Tahoma" w:hAnsi="Tahoma" w:cs="Tahoma"/>
          <w:sz w:val="16"/>
          <w:szCs w:val="16"/>
        </w:rPr>
        <w:br/>
      </w:r>
      <w:r w:rsidRPr="00973C00">
        <w:rPr>
          <w:rFonts w:ascii="Tahoma" w:hAnsi="Tahoma" w:cs="Tahoma"/>
          <w:sz w:val="16"/>
          <w:szCs w:val="16"/>
        </w:rPr>
        <w:br/>
      </w:r>
      <w:r w:rsidRPr="00973C00">
        <w:rPr>
          <w:rFonts w:ascii="Tahoma" w:hAnsi="Tahoma" w:cs="Tahoma"/>
          <w:i/>
          <w:iCs/>
          <w:sz w:val="16"/>
          <w:szCs w:val="16"/>
          <w:shd w:val="clear" w:color="auto" w:fill="FFFFFF"/>
        </w:rPr>
        <w:t>“CUARTA: Para efectos de lo establecido en el literal j) del artículo 1 de la presente Resolución, entiéndase como importador habitual de bienes a los sujetos pasivos que:</w:t>
      </w:r>
      <w:r w:rsidRPr="00973C00">
        <w:rPr>
          <w:rFonts w:ascii="Tahoma" w:hAnsi="Tahoma" w:cs="Tahoma"/>
          <w:sz w:val="16"/>
          <w:szCs w:val="16"/>
        </w:rPr>
        <w:br/>
      </w:r>
      <w:r w:rsidRPr="00973C00">
        <w:rPr>
          <w:rFonts w:ascii="Tahoma" w:hAnsi="Tahoma" w:cs="Tahoma"/>
          <w:sz w:val="16"/>
          <w:szCs w:val="16"/>
        </w:rPr>
        <w:br/>
      </w:r>
      <w:r w:rsidRPr="00973C00">
        <w:rPr>
          <w:rFonts w:ascii="Tahoma" w:hAnsi="Tahoma" w:cs="Tahoma"/>
          <w:i/>
          <w:iCs/>
          <w:sz w:val="16"/>
          <w:szCs w:val="16"/>
          <w:shd w:val="clear" w:color="auto" w:fill="FFFFFF"/>
        </w:rPr>
        <w:t>a) Sus importaciones netas sean iguales o superiores al 25% del total de sus compras netas anuales del ejercicio</w:t>
      </w:r>
      <w:r w:rsidRPr="00973C00">
        <w:rPr>
          <w:rFonts w:ascii="Tahoma" w:hAnsi="Tahoma" w:cs="Tahoma"/>
          <w:sz w:val="16"/>
          <w:szCs w:val="16"/>
          <w:shd w:val="clear" w:color="auto" w:fill="FFFFFF"/>
        </w:rPr>
        <w:t> </w:t>
      </w:r>
      <w:r w:rsidRPr="00973C00">
        <w:rPr>
          <w:rFonts w:ascii="Tahoma" w:hAnsi="Tahoma" w:cs="Tahoma"/>
          <w:i/>
          <w:iCs/>
          <w:sz w:val="16"/>
          <w:szCs w:val="16"/>
          <w:shd w:val="clear" w:color="auto" w:fill="FFFFFF"/>
        </w:rPr>
        <w:t>fiscal anterior; y,</w:t>
      </w:r>
      <w:r w:rsidRPr="00973C00">
        <w:rPr>
          <w:rFonts w:ascii="Tahoma" w:hAnsi="Tahoma" w:cs="Tahoma"/>
          <w:sz w:val="16"/>
          <w:szCs w:val="16"/>
        </w:rPr>
        <w:br/>
      </w:r>
      <w:r w:rsidRPr="00973C00">
        <w:rPr>
          <w:rFonts w:ascii="Tahoma" w:hAnsi="Tahoma" w:cs="Tahoma"/>
          <w:sz w:val="16"/>
          <w:szCs w:val="16"/>
        </w:rPr>
        <w:br/>
      </w:r>
      <w:r w:rsidRPr="00973C00">
        <w:rPr>
          <w:rFonts w:ascii="Tahoma" w:hAnsi="Tahoma" w:cs="Tahoma"/>
          <w:i/>
          <w:iCs/>
          <w:sz w:val="16"/>
          <w:szCs w:val="16"/>
          <w:shd w:val="clear" w:color="auto" w:fill="FFFFFF"/>
        </w:rPr>
        <w:t>b) Sus ingresos brutos anuales del ejercicio fiscal anterior sean iguales o superiores al valor de ingresos establecido para estar obligados a llevar contabilidad. “</w:t>
      </w:r>
      <w:r w:rsidRPr="00973C00">
        <w:rPr>
          <w:rFonts w:ascii="Tahoma" w:hAnsi="Tahoma" w:cs="Tahoma"/>
          <w:sz w:val="16"/>
          <w:szCs w:val="16"/>
        </w:rPr>
        <w:br/>
      </w:r>
      <w:r w:rsidRPr="00973C00">
        <w:rPr>
          <w:rFonts w:ascii="Tahoma" w:hAnsi="Tahoma" w:cs="Tahoma"/>
          <w:sz w:val="16"/>
          <w:szCs w:val="16"/>
        </w:rPr>
        <w:br/>
      </w:r>
      <w:r w:rsidRPr="00973C00">
        <w:rPr>
          <w:rFonts w:ascii="Tahoma" w:hAnsi="Tahoma" w:cs="Tahoma"/>
          <w:sz w:val="16"/>
          <w:szCs w:val="16"/>
          <w:shd w:val="clear" w:color="auto" w:fill="FFFFFF"/>
        </w:rPr>
        <w:t>6. En la Disposición Transitoria Única, sustitúyase la frase: “</w:t>
      </w:r>
      <w:r w:rsidRPr="00973C00">
        <w:rPr>
          <w:rFonts w:ascii="Tahoma" w:hAnsi="Tahoma" w:cs="Tahoma"/>
          <w:i/>
          <w:iCs/>
          <w:sz w:val="16"/>
          <w:szCs w:val="16"/>
          <w:shd w:val="clear" w:color="auto" w:fill="FFFFFF"/>
        </w:rPr>
        <w:t>sean iguales o superiores al monto contemplado para pequeñas empresas” </w:t>
      </w:r>
      <w:r w:rsidRPr="00973C00">
        <w:rPr>
          <w:rFonts w:ascii="Tahoma" w:hAnsi="Tahoma" w:cs="Tahoma"/>
          <w:sz w:val="16"/>
          <w:szCs w:val="16"/>
          <w:shd w:val="clear" w:color="auto" w:fill="FFFFFF"/>
        </w:rPr>
        <w:t>por la siguiente: “</w:t>
      </w:r>
      <w:r w:rsidRPr="00973C00">
        <w:rPr>
          <w:rFonts w:ascii="Tahoma" w:hAnsi="Tahoma" w:cs="Tahoma"/>
          <w:i/>
          <w:iCs/>
          <w:sz w:val="16"/>
          <w:szCs w:val="16"/>
          <w:shd w:val="clear" w:color="auto" w:fill="FFFFFF"/>
        </w:rPr>
        <w:t>se encuentren dentro del rango de ingresos previstos en la normativa vigente para pequeñas empresas”</w:t>
      </w:r>
      <w:r w:rsidRPr="00973C00">
        <w:rPr>
          <w:rFonts w:ascii="Tahoma" w:hAnsi="Tahoma" w:cs="Tahoma"/>
          <w:sz w:val="16"/>
          <w:szCs w:val="16"/>
        </w:rPr>
        <w:br/>
      </w:r>
      <w:r w:rsidRPr="00973C00">
        <w:rPr>
          <w:rFonts w:ascii="Tahoma" w:hAnsi="Tahoma" w:cs="Tahoma"/>
          <w:sz w:val="16"/>
          <w:szCs w:val="16"/>
        </w:rPr>
        <w:br/>
      </w:r>
      <w:r w:rsidRPr="00973C00">
        <w:rPr>
          <w:rFonts w:ascii="Tahoma" w:hAnsi="Tahoma" w:cs="Tahoma"/>
          <w:sz w:val="16"/>
          <w:szCs w:val="16"/>
          <w:shd w:val="clear" w:color="auto" w:fill="FFFFFF"/>
        </w:rPr>
        <w:t>Artículo 2.-Todas las unidades del Servicio de Rentas Internas deberán considerar lo dispuesto en la presente Resolución dentro de sus respectivos procesos de control.</w:t>
      </w:r>
      <w:r w:rsidRPr="00973C00">
        <w:rPr>
          <w:rFonts w:ascii="Tahoma" w:hAnsi="Tahoma" w:cs="Tahoma"/>
          <w:sz w:val="16"/>
          <w:szCs w:val="16"/>
        </w:rPr>
        <w:br/>
      </w:r>
      <w:r w:rsidRPr="00973C00">
        <w:rPr>
          <w:rFonts w:ascii="Tahoma" w:hAnsi="Tahoma" w:cs="Tahoma"/>
          <w:sz w:val="16"/>
          <w:szCs w:val="16"/>
        </w:rPr>
        <w:br/>
      </w:r>
      <w:r w:rsidRPr="00973C00">
        <w:rPr>
          <w:rFonts w:ascii="Tahoma" w:hAnsi="Tahoma" w:cs="Tahoma"/>
          <w:sz w:val="16"/>
          <w:szCs w:val="16"/>
          <w:shd w:val="clear" w:color="auto" w:fill="FFFFFF"/>
        </w:rPr>
        <w:t>DISPOSICIÓN FINAL.- La presente Resolución entrará en vigencia a partir de su publicación en el Registro Oficial, no obstante, la reforma establecida en el numeral 4 del artículo 1 de este acto normativo será aplicable a partir del 01 de junio de 2018.</w:t>
      </w:r>
    </w:p>
    <w:p w:rsidR="00856FFC" w:rsidRDefault="00856FFC" w:rsidP="00856FFC">
      <w:pPr>
        <w:shd w:val="clear" w:color="auto" w:fill="FFFFFF"/>
        <w:spacing w:after="0" w:line="240" w:lineRule="auto"/>
        <w:rPr>
          <w:rFonts w:ascii="Tahoma" w:hAnsi="Tahoma" w:cs="Tahoma"/>
          <w:sz w:val="16"/>
          <w:szCs w:val="16"/>
          <w:shd w:val="clear" w:color="auto" w:fill="FFFFFF"/>
        </w:rPr>
      </w:pPr>
    </w:p>
    <w:p w:rsidR="00856FFC" w:rsidRDefault="00856FFC" w:rsidP="00856FFC">
      <w:pPr>
        <w:shd w:val="clear" w:color="auto" w:fill="FFFFFF"/>
        <w:spacing w:after="0" w:line="240" w:lineRule="auto"/>
        <w:rPr>
          <w:rFonts w:ascii="Tahoma" w:hAnsi="Tahoma" w:cs="Tahoma"/>
          <w:sz w:val="16"/>
          <w:szCs w:val="16"/>
          <w:shd w:val="clear" w:color="auto" w:fill="FFFFFF"/>
        </w:rPr>
      </w:pPr>
    </w:p>
    <w:p w:rsidR="00ED05EB" w:rsidRDefault="00ED05EB">
      <w:bookmarkStart w:id="0" w:name="_GoBack"/>
      <w:bookmarkEnd w:id="0"/>
    </w:p>
    <w:sectPr w:rsidR="00ED05E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8C5249"/>
    <w:multiLevelType w:val="hybridMultilevel"/>
    <w:tmpl w:val="5972F14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FFC"/>
    <w:rsid w:val="00856FFC"/>
    <w:rsid w:val="00ED0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23A280-6AD5-4937-9BAD-A1A2439F5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6FFC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56F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2017-12-08T19:16:00Z</dcterms:created>
  <dcterms:modified xsi:type="dcterms:W3CDTF">2017-12-08T19:17:00Z</dcterms:modified>
</cp:coreProperties>
</file>